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page" w:tblpX="701" w:tblpY="1201"/>
        <w:tblW w:w="156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95"/>
        <w:gridCol w:w="1936"/>
        <w:gridCol w:w="11076"/>
      </w:tblGrid>
      <w:tr w:rsidR="00905714" w:rsidRPr="00B1291D" w:rsidTr="0024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FFFFFF" w:themeFill="background1"/>
          </w:tcPr>
          <w:p w:rsidR="00905714" w:rsidRPr="00B1291D" w:rsidRDefault="00905714" w:rsidP="002C5D4F">
            <w:pPr>
              <w:ind w:left="1508"/>
              <w:jc w:val="center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Areas of Learning</w:t>
            </w:r>
          </w:p>
        </w:tc>
        <w:tc>
          <w:tcPr>
            <w:tcW w:w="11076" w:type="dxa"/>
            <w:shd w:val="clear" w:color="auto" w:fill="FFFFFF" w:themeFill="background1"/>
          </w:tcPr>
          <w:p w:rsidR="00905714" w:rsidRPr="00905714" w:rsidRDefault="00905714" w:rsidP="00905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000000" w:themeColor="text1"/>
                <w:sz w:val="28"/>
                <w:szCs w:val="28"/>
              </w:rPr>
            </w:pPr>
            <w:r w:rsidRPr="00B1291D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Autumn Term </w:t>
            </w:r>
            <w:r w:rsidRPr="00B1291D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Learning</w:t>
            </w:r>
            <w:r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and skills focus</w:t>
            </w:r>
            <w:r>
              <w:rPr>
                <w:rFonts w:ascii="Century Gothic" w:hAnsi="Century Gothic" w:cs="Arial"/>
                <w:sz w:val="28"/>
                <w:szCs w:val="28"/>
              </w:rPr>
              <w:tab/>
            </w: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172978" w:rsidRDefault="00172978" w:rsidP="002C5D4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7297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Communication and Language </w:t>
            </w:r>
          </w:p>
          <w:p w:rsidR="00172978" w:rsidRPr="00B1291D" w:rsidRDefault="00172978" w:rsidP="002C5D4F">
            <w:pPr>
              <w:jc w:val="center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Listening, attention and Understanding 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B64C67" w:rsidRDefault="00B64C67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We will be focusing on developing listening, attention, understanding and speaking skills in a variety of ways. We will develop confidence in this area through whole class inputs, adult led sessions and through provision activities.</w:t>
            </w:r>
          </w:p>
          <w:p w:rsidR="00B64C67" w:rsidRPr="00B64C67" w:rsidRDefault="00B64C67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We are learning to: </w:t>
            </w:r>
          </w:p>
          <w:p w:rsidR="00B64C67" w:rsidRDefault="00B64C67" w:rsidP="002C5D4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Listen and respond in </w:t>
            </w:r>
            <w:r w:rsidRPr="00B64C67">
              <w:rPr>
                <w:rFonts w:ascii="Century Gothic" w:hAnsi="Century Gothic" w:cs="Arial"/>
                <w:sz w:val="18"/>
                <w:szCs w:val="18"/>
              </w:rPr>
              <w:t>whole class sessions and in small play situation e.g. playing in the role-play</w:t>
            </w:r>
          </w:p>
          <w:p w:rsidR="00B64C67" w:rsidRDefault="00B64C67" w:rsidP="002C5D4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Respond</w:t>
            </w:r>
            <w:r w:rsidR="00C54EA7" w:rsidRPr="00B64C67">
              <w:rPr>
                <w:rFonts w:ascii="Century Gothic" w:hAnsi="Century Gothic" w:cs="Arial"/>
                <w:sz w:val="18"/>
                <w:szCs w:val="18"/>
              </w:rPr>
              <w:t xml:space="preserve"> to instructions</w:t>
            </w:r>
          </w:p>
          <w:p w:rsidR="00B64C67" w:rsidRDefault="00B64C67" w:rsidP="002C5D4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Listen and join in</w:t>
            </w:r>
            <w:r w:rsidR="00C54EA7" w:rsidRPr="00B64C67">
              <w:rPr>
                <w:rFonts w:ascii="Century Gothic" w:hAnsi="Century Gothic" w:cs="Arial"/>
                <w:sz w:val="18"/>
                <w:szCs w:val="18"/>
              </w:rPr>
              <w:t xml:space="preserve"> with familiar stories</w:t>
            </w:r>
          </w:p>
          <w:p w:rsidR="00C54EA7" w:rsidRPr="00883CE9" w:rsidRDefault="00B64C67" w:rsidP="00883CE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Talk</w:t>
            </w:r>
            <w:r w:rsidR="00C54EA7" w:rsidRPr="00B64C67">
              <w:rPr>
                <w:rFonts w:ascii="Century Gothic" w:hAnsi="Century Gothic" w:cs="Arial"/>
                <w:sz w:val="18"/>
                <w:szCs w:val="18"/>
              </w:rPr>
              <w:t xml:space="preserve"> about </w:t>
            </w:r>
            <w:r>
              <w:rPr>
                <w:rFonts w:ascii="Century Gothic" w:hAnsi="Century Gothic" w:cs="Arial"/>
                <w:sz w:val="18"/>
                <w:szCs w:val="18"/>
              </w:rPr>
              <w:t>our</w:t>
            </w:r>
            <w:r w:rsidR="00C54EA7" w:rsidRPr="00B64C6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own experiences</w:t>
            </w:r>
          </w:p>
        </w:tc>
      </w:tr>
      <w:tr w:rsidR="00172978" w:rsidRPr="00B1291D" w:rsidTr="0024253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jc w:val="center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Speaking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spacing w:line="259" w:lineRule="auto"/>
              <w:rPr>
                <w:rFonts w:ascii="Century Gothic" w:hAnsi="Century Gothic" w:cs="Arial"/>
                <w:b w:val="0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Personal, social and emotional development </w:t>
            </w:r>
          </w:p>
          <w:p w:rsidR="00172978" w:rsidRPr="00B1291D" w:rsidRDefault="00172978" w:rsidP="002C5D4F">
            <w:pPr>
              <w:spacing w:line="259" w:lineRule="auto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5A259A" w:rsidRDefault="00172978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Self-regulation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B64C67" w:rsidRDefault="00B64C67" w:rsidP="002C5D4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During the Autumn term we will be working on developing strong relationships with both peers and adults in class. Our focus during whole class sessions will be 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aimed at naming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emotions and how we might feel in different situations. </w:t>
            </w:r>
          </w:p>
          <w:p w:rsidR="00B64C67" w:rsidRPr="00B64C67" w:rsidRDefault="00B64C67" w:rsidP="00B64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We are learning to: </w:t>
            </w:r>
          </w:p>
          <w:p w:rsidR="00B64C67" w:rsidRDefault="00C54EA7" w:rsidP="002C5D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Develop relationship with each other during play</w:t>
            </w:r>
          </w:p>
          <w:p w:rsidR="00B64C67" w:rsidRDefault="00C54EA7" w:rsidP="002C5D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Build trusting relationships with adults in class</w:t>
            </w:r>
          </w:p>
          <w:p w:rsidR="00B64C67" w:rsidRDefault="00B64C67" w:rsidP="002C5D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Confidently explore and use all areas of the classroom</w:t>
            </w:r>
          </w:p>
          <w:p w:rsidR="00B64C67" w:rsidRDefault="00C54EA7" w:rsidP="002C5D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Become familiar with the routines and expectations of the classroom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using our ‘ready, respectful, safe’ rules</w:t>
            </w:r>
          </w:p>
          <w:p w:rsidR="00C54EA7" w:rsidRPr="00B64C67" w:rsidRDefault="00B64C67" w:rsidP="00B64C6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N</w:t>
            </w:r>
            <w:r w:rsidR="00C54EA7"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ame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a variety of different emotions</w:t>
            </w:r>
            <w:r w:rsidR="00C54EA7" w:rsidRPr="00B64C6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72978" w:rsidRPr="00B1291D" w:rsidTr="0024253F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5A259A" w:rsidRDefault="00172978" w:rsidP="002C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Managing self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5A259A" w:rsidRDefault="00172978" w:rsidP="002C5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39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5A259A" w:rsidRDefault="00172978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Building relationships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5A259A" w:rsidRDefault="00172978" w:rsidP="002C5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Physical Development </w:t>
            </w:r>
          </w:p>
        </w:tc>
        <w:tc>
          <w:tcPr>
            <w:tcW w:w="1936" w:type="dxa"/>
            <w:shd w:val="clear" w:color="auto" w:fill="FFFFFF" w:themeFill="background1"/>
          </w:tcPr>
          <w:p w:rsidR="00172978" w:rsidRPr="00172978" w:rsidRDefault="00172978" w:rsidP="002C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Gross motor development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905714" w:rsidRDefault="00C54EA7" w:rsidP="002C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In </w:t>
            </w:r>
            <w:r w:rsidR="002935C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Reception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PE lessons we will be focusing on body management and negotiating space safely in a variety of ways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. Every day we will complete fine motor activities to develop hand strength and co-ordination. In our outdoor space we will be encouraging movement in many ways such as climbing, kicking a ball and balancing. </w:t>
            </w:r>
          </w:p>
          <w:p w:rsidR="00905714" w:rsidRPr="00905714" w:rsidRDefault="00905714" w:rsidP="0090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We are learning to: </w:t>
            </w:r>
          </w:p>
          <w:p w:rsidR="00905714" w:rsidRDefault="00C54EA7" w:rsidP="002C5D4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Develop use of scissors</w:t>
            </w:r>
          </w:p>
          <w:p w:rsidR="00172978" w:rsidRDefault="00C54EA7" w:rsidP="002C5D4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Develop fine motor skills through building towers, using tweezers, threading and dough discos sessions </w:t>
            </w:r>
          </w:p>
          <w:p w:rsidR="00905714" w:rsidRPr="00905714" w:rsidRDefault="00905714" w:rsidP="002C5D4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Improve gross motor co-ordination through active learning </w:t>
            </w: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172978" w:rsidRDefault="00172978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Fine motor development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172978" w:rsidRDefault="00172978" w:rsidP="002C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Literacy </w:t>
            </w:r>
          </w:p>
        </w:tc>
        <w:tc>
          <w:tcPr>
            <w:tcW w:w="1936" w:type="dxa"/>
            <w:shd w:val="clear" w:color="auto" w:fill="FFFFFF" w:themeFill="background1"/>
          </w:tcPr>
          <w:p w:rsidR="00172978" w:rsidRPr="00172978" w:rsidRDefault="00172978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Comprehension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172978" w:rsidRDefault="00C54EA7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We will be spending lots of t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ime exploring stories together. At the start of the Autumn term we will be exploring a va</w:t>
            </w:r>
            <w:r w:rsidR="003967B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riety of books around feeling 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such as </w:t>
            </w:r>
            <w:r w:rsidR="00905714" w:rsidRPr="004C79E2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>The Colour Monster</w:t>
            </w:r>
            <w:r w:rsid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="00905714" w:rsidRPr="0090571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by </w:t>
            </w:r>
            <w:r w:rsidR="00905714" w:rsidRPr="0073261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="00905714" w:rsidRPr="0073261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Llenas</w:t>
            </w:r>
            <w:proofErr w:type="spellEnd"/>
            <w:r w:rsidR="00905714" w:rsidRPr="0073261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, </w:t>
            </w:r>
            <w:r w:rsidR="00732612" w:rsidRPr="00732612">
              <w:rPr>
                <w:rFonts w:ascii="Century Gothic" w:hAnsi="Century Gothic"/>
                <w:i/>
                <w:sz w:val="18"/>
                <w:szCs w:val="18"/>
              </w:rPr>
              <w:t>Incredible You</w:t>
            </w:r>
            <w:r w:rsidR="00732612" w:rsidRPr="00732612">
              <w:rPr>
                <w:rFonts w:ascii="Century Gothic" w:hAnsi="Century Gothic"/>
                <w:sz w:val="18"/>
                <w:szCs w:val="18"/>
              </w:rPr>
              <w:t xml:space="preserve"> by Rhys </w:t>
            </w:r>
            <w:proofErr w:type="spellStart"/>
            <w:r w:rsidR="00732612" w:rsidRPr="00732612">
              <w:rPr>
                <w:rFonts w:ascii="Century Gothic" w:hAnsi="Century Gothic"/>
                <w:sz w:val="18"/>
                <w:szCs w:val="18"/>
              </w:rPr>
              <w:t>Brisenden</w:t>
            </w:r>
            <w:proofErr w:type="spellEnd"/>
            <w:r w:rsidR="00732612">
              <w:rPr>
                <w:rFonts w:ascii="Century Gothic" w:hAnsi="Century Gothic"/>
                <w:sz w:val="18"/>
                <w:szCs w:val="18"/>
              </w:rPr>
              <w:t>, and</w:t>
            </w:r>
            <w:r w:rsidR="00732612" w:rsidRPr="0073261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32612" w:rsidRPr="00732612">
              <w:rPr>
                <w:rFonts w:ascii="Century Gothic" w:hAnsi="Century Gothic"/>
                <w:i/>
                <w:sz w:val="18"/>
                <w:szCs w:val="18"/>
              </w:rPr>
              <w:t>The only way is Badger</w:t>
            </w:r>
            <w:r w:rsidR="00732612" w:rsidRPr="00732612">
              <w:rPr>
                <w:rFonts w:ascii="Century Gothic" w:hAnsi="Century Gothic"/>
                <w:sz w:val="18"/>
                <w:szCs w:val="18"/>
              </w:rPr>
              <w:t xml:space="preserve"> by Stella J Jones.</w:t>
            </w:r>
            <w:r w:rsidR="00732612">
              <w:rPr>
                <w:rFonts w:ascii="Century Gothic" w:hAnsi="Century Gothic"/>
                <w:sz w:val="18"/>
                <w:szCs w:val="18"/>
              </w:rPr>
              <w:t xml:space="preserve"> Lat</w:t>
            </w:r>
            <w:r w:rsidR="002935C5">
              <w:rPr>
                <w:rFonts w:ascii="Century Gothic" w:hAnsi="Century Gothic"/>
                <w:sz w:val="18"/>
                <w:szCs w:val="18"/>
              </w:rPr>
              <w:t xml:space="preserve">er in the term we will be using </w:t>
            </w:r>
            <w:r w:rsidR="002935C5" w:rsidRPr="002935C5">
              <w:rPr>
                <w:rFonts w:ascii="Century Gothic" w:hAnsi="Century Gothic"/>
                <w:i/>
                <w:sz w:val="18"/>
                <w:szCs w:val="18"/>
              </w:rPr>
              <w:t>You Choose</w:t>
            </w:r>
            <w:r w:rsidR="002935C5">
              <w:rPr>
                <w:rFonts w:ascii="Century Gothic" w:hAnsi="Century Gothic"/>
                <w:sz w:val="18"/>
                <w:szCs w:val="18"/>
              </w:rPr>
              <w:t xml:space="preserve"> to inspire storytelling. </w:t>
            </w:r>
          </w:p>
          <w:p w:rsidR="002935C5" w:rsidRDefault="002935C5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Reception children</w:t>
            </w:r>
            <w:r w:rsidR="00732612">
              <w:rPr>
                <w:rFonts w:ascii="Century Gothic" w:hAnsi="Century Gothic"/>
                <w:sz w:val="18"/>
                <w:szCs w:val="18"/>
              </w:rPr>
              <w:t xml:space="preserve"> will also be starting daily Read, Write, Inc. lessons this term where we will learn to recognise single letter sounds as well as read and write simple words and phrases.</w:t>
            </w:r>
          </w:p>
          <w:p w:rsidR="00732612" w:rsidRDefault="002935C5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Nursery will be focusing on learning nursery rhymes. </w:t>
            </w:r>
            <w:r w:rsidR="0073261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32612" w:rsidRPr="00905714" w:rsidRDefault="002935C5" w:rsidP="0073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Reception</w:t>
            </w:r>
            <w:r w:rsidR="00732612">
              <w:rPr>
                <w:rFonts w:ascii="Century Gothic" w:hAnsi="Century Gothic" w:cs="Arial"/>
                <w:b/>
                <w:sz w:val="18"/>
                <w:szCs w:val="18"/>
              </w:rPr>
              <w:t xml:space="preserve"> are learning to: </w:t>
            </w:r>
          </w:p>
          <w:p w:rsidR="00732612" w:rsidRDefault="00732612" w:rsidP="007326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Join in with discussions about books</w:t>
            </w:r>
          </w:p>
          <w:p w:rsidR="00732612" w:rsidRDefault="00732612" w:rsidP="007326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and write our names with increasingly accurate formation</w:t>
            </w:r>
          </w:p>
          <w:p w:rsidR="00732612" w:rsidRDefault="00732612" w:rsidP="007326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Recognise some single letter sounds</w:t>
            </w:r>
          </w:p>
          <w:p w:rsidR="00732612" w:rsidRDefault="00732612" w:rsidP="007326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simple words and phrases</w:t>
            </w:r>
          </w:p>
          <w:p w:rsidR="00732612" w:rsidRPr="00732612" w:rsidRDefault="00732612" w:rsidP="007326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Begin to convey meaning when writing</w:t>
            </w:r>
          </w:p>
          <w:p w:rsidR="00C54EA7" w:rsidRPr="002935C5" w:rsidRDefault="002935C5" w:rsidP="0073261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2935C5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Nursery are learning to: </w:t>
            </w:r>
          </w:p>
          <w:p w:rsidR="00DD7972" w:rsidRPr="00883CE9" w:rsidRDefault="00883CE9" w:rsidP="002935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Listen to stories, rhymes and songs</w:t>
            </w:r>
          </w:p>
          <w:p w:rsidR="00883CE9" w:rsidRPr="00883CE9" w:rsidRDefault="00883CE9" w:rsidP="002935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Join in with songs and actions</w:t>
            </w:r>
          </w:p>
          <w:p w:rsidR="00883CE9" w:rsidRPr="00883CE9" w:rsidRDefault="00883CE9" w:rsidP="002935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Look at books and describe what is happening</w:t>
            </w:r>
          </w:p>
          <w:p w:rsidR="00883CE9" w:rsidRDefault="00883CE9" w:rsidP="002935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Experiment with mark marking</w:t>
            </w:r>
          </w:p>
          <w:p w:rsidR="00DD7972" w:rsidRDefault="00DD7972" w:rsidP="0073261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  <w:p w:rsidR="003967B7" w:rsidRPr="00B1291D" w:rsidRDefault="003967B7" w:rsidP="0073261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172978" w:rsidRDefault="00172978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Word reading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172978" w:rsidRDefault="00172978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Writing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lastRenderedPageBreak/>
              <w:t>Mathematics</w:t>
            </w: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732612" w:rsidRDefault="002935C5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In maths we will</w:t>
            </w:r>
            <w:r w:rsid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 be developing key mathematical skills through lesson</w:t>
            </w:r>
            <w:r w:rsidR="003967B7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s</w:t>
            </w:r>
            <w:r w:rsid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DD7972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daily maths </w:t>
            </w: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reviews </w:t>
            </w:r>
            <w:r w:rsid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and challenges in provision. We will be focusing on early mathematical experiences such as counting, comparing and ordering. We will also be looking at </w:t>
            </w:r>
            <w:r w:rsidR="003967B7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patterns</w:t>
            </w:r>
            <w:r w:rsid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 and number recognition. </w:t>
            </w:r>
          </w:p>
          <w:p w:rsidR="0001003C" w:rsidRDefault="00883CE9" w:rsidP="0001003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Reception are learning to: </w:t>
            </w:r>
          </w:p>
          <w:p w:rsidR="0001003C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match equal sets using one-to-one correspondence</w:t>
            </w:r>
          </w:p>
          <w:p w:rsidR="0001003C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match unequal sets using one-to-one correspondence  </w:t>
            </w:r>
          </w:p>
          <w:p w:rsidR="0001003C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comp</w:t>
            </w: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are objects according to size </w:t>
            </w:r>
          </w:p>
          <w:p w:rsidR="0001003C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c</w:t>
            </w: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ompare sets without counting </w:t>
            </w:r>
          </w:p>
          <w:p w:rsidR="0001003C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order objects </w:t>
            </w: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according to length or height </w:t>
            </w:r>
          </w:p>
          <w:p w:rsidR="00DD7972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01003C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order sets without counting  </w:t>
            </w:r>
          </w:p>
          <w:p w:rsidR="00DD7972" w:rsidRDefault="0001003C" w:rsidP="0001003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DD7972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recognise, create and describe patterns  </w:t>
            </w:r>
          </w:p>
          <w:p w:rsidR="00DD7972" w:rsidRDefault="0001003C" w:rsidP="00DD797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DD7972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describe and create patterns that are the same and different </w:t>
            </w:r>
          </w:p>
          <w:p w:rsidR="0001003C" w:rsidRDefault="0001003C" w:rsidP="00DD797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DD7972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recognise if a number of ob</w:t>
            </w:r>
            <w:r w:rsidR="00DD7972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jects is the same or different </w:t>
            </w:r>
          </w:p>
          <w:p w:rsidR="00C54EA7" w:rsidRDefault="00DD7972" w:rsidP="002C5D4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recognise some numerals</w:t>
            </w:r>
          </w:p>
          <w:p w:rsidR="00883CE9" w:rsidRDefault="00883CE9" w:rsidP="00883CE9">
            <w:pPr>
              <w:pStyle w:val="Normal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883CE9" w:rsidRDefault="00883CE9" w:rsidP="00883CE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83CE9">
              <w:rPr>
                <w:rFonts w:ascii="Century Gothic" w:eastAsiaTheme="minorHAnsi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  <w:t>Nursery and learning to:</w:t>
            </w:r>
          </w:p>
          <w:p w:rsidR="00883CE9" w:rsidRPr="00883CE9" w:rsidRDefault="00883CE9" w:rsidP="00883C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Join in with counting songs</w:t>
            </w:r>
          </w:p>
          <w:p w:rsidR="00883CE9" w:rsidRPr="00883CE9" w:rsidRDefault="00883CE9" w:rsidP="00883C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Recognise small amounts </w:t>
            </w:r>
          </w:p>
          <w:p w:rsidR="00883CE9" w:rsidRPr="00883CE9" w:rsidRDefault="00883CE9" w:rsidP="00883C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883CE9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Show an interest in numbers</w:t>
            </w:r>
          </w:p>
          <w:p w:rsidR="00883CE9" w:rsidRPr="00883CE9" w:rsidRDefault="00883CE9" w:rsidP="00883C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883CE9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Begin to use number names when counting or playing games</w:t>
            </w:r>
          </w:p>
        </w:tc>
      </w:tr>
      <w:tr w:rsidR="00172978" w:rsidRPr="00B1291D" w:rsidTr="0024253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  <w:t>Number Patterns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Understanding the world </w:t>
            </w: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Past and Present 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DD7972" w:rsidRDefault="00DD7972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Through discussions, stories, songs, observation and experiences, we will be exploring seasonal change</w:t>
            </w:r>
            <w:r w:rsidR="003967B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We will also be learning about a diverse range of celebrations including Harvest festivals, Diwali and Halloween. </w:t>
            </w:r>
          </w:p>
          <w:p w:rsidR="00DD7972" w:rsidRDefault="00DD7972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Through our weekly visits to the nature area, we will learn to describe what we can see around us and describe the changes we see. </w:t>
            </w:r>
          </w:p>
          <w:p w:rsidR="00DD7972" w:rsidRDefault="00DD7972" w:rsidP="00DD797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We are learning to:</w:t>
            </w:r>
          </w:p>
          <w:p w:rsidR="00DD7972" w:rsidRPr="00DD7972" w:rsidRDefault="00DD7972" w:rsidP="00DD797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Talk about our own experiences </w:t>
            </w:r>
          </w:p>
          <w:p w:rsidR="00DD7972" w:rsidRDefault="00DD7972" w:rsidP="00DD797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Name events that are commonly celebrated</w:t>
            </w:r>
          </w:p>
          <w:p w:rsidR="00DD7972" w:rsidRPr="00DD7972" w:rsidRDefault="00DD7972" w:rsidP="00DD797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Discuss simple changes in the seasons</w:t>
            </w:r>
          </w:p>
          <w:p w:rsidR="00C54EA7" w:rsidRPr="00DD7972" w:rsidRDefault="00DD7972" w:rsidP="00DD797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Be safe in the nature area</w:t>
            </w:r>
          </w:p>
        </w:tc>
      </w:tr>
      <w:tr w:rsidR="00172978" w:rsidRPr="00B1291D" w:rsidTr="002425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People, culture and communities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The natural world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172978" w:rsidRPr="00B1291D" w:rsidTr="0024253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FFFFFF" w:themeFill="background1"/>
          </w:tcPr>
          <w:p w:rsidR="00172978" w:rsidRPr="00B1291D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Expressive Arts and Design </w:t>
            </w: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  <w:t>Creating with materials</w:t>
            </w:r>
          </w:p>
        </w:tc>
        <w:tc>
          <w:tcPr>
            <w:tcW w:w="11076" w:type="dxa"/>
            <w:vMerge w:val="restart"/>
            <w:shd w:val="clear" w:color="auto" w:fill="FFFFFF" w:themeFill="background1"/>
          </w:tcPr>
          <w:p w:rsidR="0024253F" w:rsidRPr="0024253F" w:rsidRDefault="0024253F" w:rsidP="002C5D4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We will be </w:t>
            </w:r>
            <w:r w:rsidR="007B15E3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developing confidence through singing, storytelling with puppets, craft activities and painting. This half term we will be creating self-portraits using a variety of media. </w:t>
            </w:r>
          </w:p>
          <w:p w:rsidR="007B15E3" w:rsidRDefault="007B15E3" w:rsidP="007B15E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We are learning to:</w:t>
            </w:r>
          </w:p>
          <w:p w:rsidR="00C54EA7" w:rsidRPr="007B15E3" w:rsidRDefault="00C54EA7" w:rsidP="007B15E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7B15E3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Creating simple representations of people, places and objects using drawing, paint, junk modelling or collage</w:t>
            </w:r>
          </w:p>
          <w:p w:rsidR="007B15E3" w:rsidRPr="007B15E3" w:rsidRDefault="007B15E3" w:rsidP="002C5D4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</w:pPr>
            <w:r w:rsidRPr="007B15E3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 xml:space="preserve">Introduce a narrative in imaginative play such as role play and small world </w:t>
            </w:r>
          </w:p>
          <w:p w:rsidR="00C54EA7" w:rsidRPr="007B15E3" w:rsidRDefault="00C54EA7" w:rsidP="002C5D4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7B15E3">
              <w:rPr>
                <w:rFonts w:ascii="Century Gothic" w:eastAsiaTheme="minorHAnsi" w:hAnsi="Century Gothic" w:cs="Arial"/>
                <w:color w:val="000000" w:themeColor="text1"/>
                <w:sz w:val="18"/>
                <w:szCs w:val="18"/>
                <w:lang w:eastAsia="en-US"/>
              </w:rPr>
              <w:t>Exploring different instruments and play along to singing</w:t>
            </w:r>
          </w:p>
        </w:tc>
      </w:tr>
      <w:tr w:rsidR="00172978" w:rsidRPr="00B1291D" w:rsidTr="0024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FFFFFF" w:themeFill="background1"/>
          </w:tcPr>
          <w:p w:rsidR="00172978" w:rsidRDefault="00172978" w:rsidP="002C5D4F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Being imaginative and expressive </w:t>
            </w:r>
          </w:p>
        </w:tc>
        <w:tc>
          <w:tcPr>
            <w:tcW w:w="11076" w:type="dxa"/>
            <w:vMerge/>
            <w:shd w:val="clear" w:color="auto" w:fill="FFFFFF" w:themeFill="background1"/>
          </w:tcPr>
          <w:p w:rsidR="00172978" w:rsidRPr="00B1291D" w:rsidRDefault="00172978" w:rsidP="002C5D4F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E0227" w:rsidRPr="00E95AE4" w:rsidRDefault="00DE0227" w:rsidP="00172978">
      <w:pPr>
        <w:ind w:left="142" w:hanging="142"/>
        <w:rPr>
          <w:rFonts w:ascii="Century Gothic" w:hAnsi="Century Gothic"/>
        </w:rPr>
      </w:pPr>
    </w:p>
    <w:sectPr w:rsidR="00DE0227" w:rsidRPr="00E95AE4" w:rsidSect="00172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D85"/>
    <w:multiLevelType w:val="hybridMultilevel"/>
    <w:tmpl w:val="0ADA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2CA"/>
    <w:multiLevelType w:val="multilevel"/>
    <w:tmpl w:val="C92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E20AB"/>
    <w:multiLevelType w:val="hybridMultilevel"/>
    <w:tmpl w:val="F64E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1801"/>
    <w:multiLevelType w:val="hybridMultilevel"/>
    <w:tmpl w:val="0BB0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0CA"/>
    <w:multiLevelType w:val="hybridMultilevel"/>
    <w:tmpl w:val="C19C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4B5E"/>
    <w:multiLevelType w:val="hybridMultilevel"/>
    <w:tmpl w:val="4B84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20C5"/>
    <w:multiLevelType w:val="hybridMultilevel"/>
    <w:tmpl w:val="DCE6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759F"/>
    <w:multiLevelType w:val="hybridMultilevel"/>
    <w:tmpl w:val="6686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B1E"/>
    <w:multiLevelType w:val="hybridMultilevel"/>
    <w:tmpl w:val="2942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01E"/>
    <w:multiLevelType w:val="hybridMultilevel"/>
    <w:tmpl w:val="D328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E6D1E"/>
    <w:multiLevelType w:val="hybridMultilevel"/>
    <w:tmpl w:val="DE0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31A2"/>
    <w:multiLevelType w:val="hybridMultilevel"/>
    <w:tmpl w:val="B07E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0FC2"/>
    <w:multiLevelType w:val="hybridMultilevel"/>
    <w:tmpl w:val="004A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A74E7"/>
    <w:multiLevelType w:val="hybridMultilevel"/>
    <w:tmpl w:val="4C3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53D78"/>
    <w:multiLevelType w:val="hybridMultilevel"/>
    <w:tmpl w:val="B548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F1"/>
    <w:rsid w:val="0001003C"/>
    <w:rsid w:val="00172978"/>
    <w:rsid w:val="00202EA0"/>
    <w:rsid w:val="0024253F"/>
    <w:rsid w:val="002935C5"/>
    <w:rsid w:val="002C5D4F"/>
    <w:rsid w:val="002D2CEE"/>
    <w:rsid w:val="003967B7"/>
    <w:rsid w:val="00486C44"/>
    <w:rsid w:val="004C79E2"/>
    <w:rsid w:val="004D3BAD"/>
    <w:rsid w:val="00557E8F"/>
    <w:rsid w:val="005A259A"/>
    <w:rsid w:val="005D6CD2"/>
    <w:rsid w:val="005F3497"/>
    <w:rsid w:val="00662FC1"/>
    <w:rsid w:val="00707BF0"/>
    <w:rsid w:val="00732612"/>
    <w:rsid w:val="00733E5F"/>
    <w:rsid w:val="0075014C"/>
    <w:rsid w:val="007B15E3"/>
    <w:rsid w:val="00883CE9"/>
    <w:rsid w:val="0089095F"/>
    <w:rsid w:val="008C2E2D"/>
    <w:rsid w:val="008D1EA1"/>
    <w:rsid w:val="00905714"/>
    <w:rsid w:val="00992C1A"/>
    <w:rsid w:val="009C018F"/>
    <w:rsid w:val="00A6071C"/>
    <w:rsid w:val="00AD026B"/>
    <w:rsid w:val="00B1291D"/>
    <w:rsid w:val="00B64C67"/>
    <w:rsid w:val="00BA01FB"/>
    <w:rsid w:val="00BD514A"/>
    <w:rsid w:val="00C54EA7"/>
    <w:rsid w:val="00CB7312"/>
    <w:rsid w:val="00CE15A2"/>
    <w:rsid w:val="00D215F1"/>
    <w:rsid w:val="00D44EDD"/>
    <w:rsid w:val="00DA2631"/>
    <w:rsid w:val="00DD7972"/>
    <w:rsid w:val="00DE0227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EE8E"/>
  <w15:chartTrackingRefBased/>
  <w15:docId w15:val="{143B7832-CBF9-4797-B421-6117A93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215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D21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215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2D2CEE"/>
  </w:style>
  <w:style w:type="paragraph" w:styleId="BalloonText">
    <w:name w:val="Balloon Text"/>
    <w:basedOn w:val="Normal"/>
    <w:link w:val="BalloonTextChar"/>
    <w:uiPriority w:val="99"/>
    <w:semiHidden/>
    <w:unhideWhenUsed/>
    <w:rsid w:val="00CB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3FF29A5464048A25D228B578BC349" ma:contentTypeVersion="10" ma:contentTypeDescription="Create a new document." ma:contentTypeScope="" ma:versionID="d617723392d52b25bcb87162f997e9d1">
  <xsd:schema xmlns:xsd="http://www.w3.org/2001/XMLSchema" xmlns:xs="http://www.w3.org/2001/XMLSchema" xmlns:p="http://schemas.microsoft.com/office/2006/metadata/properties" xmlns:ns2="f4b2355d-13c8-4461-aae0-f82d740f6a3c" xmlns:ns3="a6bcdc24-0d9b-4d2a-817a-2951ffa92df5" targetNamespace="http://schemas.microsoft.com/office/2006/metadata/properties" ma:root="true" ma:fieldsID="1c9242dfb281283e43f9890b06a97d82" ns2:_="" ns3:_="">
    <xsd:import namespace="f4b2355d-13c8-4461-aae0-f82d740f6a3c"/>
    <xsd:import namespace="a6bcdc24-0d9b-4d2a-817a-2951ffa92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2355d-13c8-4461-aae0-f82d740f6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dc24-0d9b-4d2a-817a-2951ffa92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E18FE-372B-455E-83B3-B5DF32E28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B5A4F-08C3-4F04-9C3D-EC9BF1279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2355d-13c8-4461-aae0-f82d740f6a3c"/>
    <ds:schemaRef ds:uri="a6bcdc24-0d9b-4d2a-817a-2951ffa92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0FE2E-B1AA-4A6C-9135-3849BE59C9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a6bcdc24-0d9b-4d2a-817a-2951ffa92df5"/>
    <ds:schemaRef ds:uri="http://purl.org/dc/dcmitype/"/>
    <ds:schemaRef ds:uri="http://schemas.microsoft.com/office/2006/metadata/properties"/>
    <ds:schemaRef ds:uri="http://schemas.microsoft.com/office/infopath/2007/PartnerControls"/>
    <ds:schemaRef ds:uri="f4b2355d-13c8-4461-aae0-f82d740f6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Fawcett</dc:creator>
  <cp:keywords/>
  <dc:description/>
  <cp:lastModifiedBy>Lauren Silvester</cp:lastModifiedBy>
  <cp:revision>14</cp:revision>
  <cp:lastPrinted>2020-10-13T06:45:00Z</cp:lastPrinted>
  <dcterms:created xsi:type="dcterms:W3CDTF">2021-09-07T14:04:00Z</dcterms:created>
  <dcterms:modified xsi:type="dcterms:W3CDTF">2023-09-21T15:10:00Z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0x010100CF13FF29A5464048A25D228B578BC349</vt:lpwstr>
  </property>
</Properties>
</file>